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0F" w:rsidRPr="00D517D5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6"/>
          <w:szCs w:val="26"/>
        </w:rPr>
      </w:pPr>
      <w:r w:rsidRPr="00D517D5">
        <w:rPr>
          <w:rFonts w:ascii="Times New Roman" w:hAnsi="Times New Roman"/>
          <w:sz w:val="26"/>
          <w:szCs w:val="26"/>
        </w:rPr>
        <w:t>ПРИЛОЖЕНИЕ N 3</w:t>
      </w:r>
    </w:p>
    <w:p w:rsidR="00E4170F" w:rsidRPr="00D517D5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D517D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E4170F" w:rsidRPr="00D517D5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D517D5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E4170F" w:rsidRPr="00D517D5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D517D5">
        <w:rPr>
          <w:rFonts w:ascii="Times New Roman" w:hAnsi="Times New Roman"/>
          <w:sz w:val="26"/>
          <w:szCs w:val="26"/>
        </w:rPr>
        <w:t xml:space="preserve"> «Приморский муниципальный район»</w:t>
      </w:r>
    </w:p>
    <w:p w:rsidR="00E4170F" w:rsidRPr="00D517D5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D517D5">
        <w:rPr>
          <w:rFonts w:ascii="Times New Roman" w:hAnsi="Times New Roman"/>
          <w:sz w:val="26"/>
          <w:szCs w:val="26"/>
        </w:rPr>
        <w:t>«Развитие инфраструктуры</w:t>
      </w:r>
    </w:p>
    <w:p w:rsidR="00E4170F" w:rsidRPr="00D517D5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ind w:left="4395" w:right="-144"/>
        <w:rPr>
          <w:rFonts w:ascii="Times New Roman" w:hAnsi="Times New Roman"/>
          <w:sz w:val="26"/>
          <w:szCs w:val="26"/>
        </w:rPr>
      </w:pPr>
      <w:r w:rsidRPr="00D517D5">
        <w:rPr>
          <w:rFonts w:ascii="Times New Roman" w:hAnsi="Times New Roman"/>
          <w:sz w:val="26"/>
          <w:szCs w:val="26"/>
        </w:rPr>
        <w:t>Соловецкого архипелага (2014 – 2019 годы)»</w:t>
      </w:r>
    </w:p>
    <w:p w:rsidR="00E4170F" w:rsidRPr="003838B0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70F" w:rsidRPr="003838B0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8B0">
        <w:rPr>
          <w:rFonts w:ascii="Times New Roman" w:hAnsi="Times New Roman"/>
          <w:sz w:val="28"/>
          <w:szCs w:val="28"/>
        </w:rPr>
        <w:t>ПЕРЕЧЕНЬ</w:t>
      </w:r>
    </w:p>
    <w:p w:rsidR="00E4170F" w:rsidRPr="003838B0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8B0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</w:t>
      </w:r>
    </w:p>
    <w:p w:rsidR="00E4170F" w:rsidRPr="003838B0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8B0">
        <w:rPr>
          <w:rFonts w:ascii="Times New Roman" w:hAnsi="Times New Roman"/>
          <w:sz w:val="28"/>
          <w:szCs w:val="28"/>
        </w:rPr>
        <w:t xml:space="preserve"> «Развитие инфраструктуры Соловецкого архипелага (2014 - 2019 годы)»</w:t>
      </w:r>
    </w:p>
    <w:p w:rsidR="00E4170F" w:rsidRPr="003838B0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70F" w:rsidRPr="003838B0" w:rsidRDefault="00E4170F" w:rsidP="00E4170F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8B0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Pr="003838B0">
        <w:rPr>
          <w:rFonts w:ascii="Times New Roman" w:hAnsi="Times New Roman"/>
          <w:sz w:val="28"/>
          <w:szCs w:val="28"/>
          <w:lang w:eastAsia="ru-RU"/>
        </w:rPr>
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район».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0"/>
        <w:gridCol w:w="851"/>
        <w:gridCol w:w="850"/>
        <w:gridCol w:w="851"/>
        <w:gridCol w:w="851"/>
        <w:gridCol w:w="850"/>
        <w:gridCol w:w="851"/>
      </w:tblGrid>
      <w:tr w:rsidR="00E4170F" w:rsidRPr="003838B0" w:rsidTr="00D50695">
        <w:trPr>
          <w:trHeight w:val="3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целевого</w:t>
            </w:r>
            <w:proofErr w:type="gramEnd"/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Значения целевых показателей</w:t>
            </w:r>
          </w:p>
        </w:tc>
      </w:tr>
      <w:tr w:rsidR="00E4170F" w:rsidRPr="003838B0" w:rsidTr="00D50695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базовый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2019 г.</w:t>
            </w:r>
          </w:p>
        </w:tc>
      </w:tr>
      <w:tr w:rsidR="00E4170F" w:rsidRPr="003838B0" w:rsidTr="00D50695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E4170F" w:rsidRPr="003838B0" w:rsidTr="00D50695">
        <w:trPr>
          <w:trHeight w:val="128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1. Обеспеченность зданий  (жилого и нежилого фонда)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>на территории Соловецкого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архипелага питьевой водой в соответствии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установленными           </w:t>
            </w:r>
            <w:proofErr w:type="gramEnd"/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нормативами (нарастающим итогом)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4170F" w:rsidRPr="003838B0" w:rsidTr="00D50695">
        <w:trPr>
          <w:trHeight w:val="128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2. Обеспеченность зданий (жилого и нежилого фонда)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водоотведением и   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канализацией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 xml:space="preserve">соответствии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установленными           </w:t>
            </w:r>
            <w:proofErr w:type="gramEnd"/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нормативами (нарастающим итогом)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4170F" w:rsidRPr="003838B0" w:rsidTr="00D50695">
        <w:trPr>
          <w:trHeight w:val="31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3. Доля отходов,   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направленных</w:t>
            </w:r>
            <w:proofErr w:type="gramEnd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 на переработку, повторное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использование и    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обезвреживание,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gramEnd"/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9606E">
              <w:rPr>
                <w:rFonts w:ascii="Times New Roman" w:hAnsi="Times New Roman"/>
                <w:sz w:val="23"/>
                <w:szCs w:val="23"/>
              </w:rPr>
              <w:t>общегодового</w:t>
            </w:r>
            <w:proofErr w:type="spellEnd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 объема      </w:t>
            </w:r>
          </w:p>
          <w:p w:rsidR="00E4170F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отходов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(нарастающим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итогом)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</w:tr>
      <w:tr w:rsidR="00E4170F" w:rsidRPr="003838B0" w:rsidTr="00D50695">
        <w:trPr>
          <w:trHeight w:val="8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4. Количество      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реконструированных 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(построенных) причальных </w:t>
            </w:r>
          </w:p>
          <w:p w:rsidR="00E4170F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сооружений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(нарастающим  итогом)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</w:tbl>
    <w:p w:rsidR="00E4170F" w:rsidRDefault="00E4170F" w:rsidP="00E4170F"/>
    <w:p w:rsidR="00E4170F" w:rsidRDefault="00E4170F" w:rsidP="00E4170F"/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0"/>
        <w:gridCol w:w="851"/>
        <w:gridCol w:w="850"/>
        <w:gridCol w:w="851"/>
        <w:gridCol w:w="851"/>
        <w:gridCol w:w="850"/>
        <w:gridCol w:w="851"/>
      </w:tblGrid>
      <w:tr w:rsidR="00E4170F" w:rsidRPr="003838B0" w:rsidTr="00D50695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E4170F" w:rsidRPr="003838B0" w:rsidTr="00D50695">
        <w:trPr>
          <w:trHeight w:val="176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5. Доля протяженности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вновь построенных  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(реконструированных)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дорог на территории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Соловецкого архипелага,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являющихся</w:t>
            </w:r>
            <w:proofErr w:type="gramEnd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 памятниками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истории и (или) культуры,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gramEnd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 общей фактической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протяженности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указанных</w:t>
            </w:r>
            <w:proofErr w:type="gramEnd"/>
          </w:p>
          <w:p w:rsidR="00E4170F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дорог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(нарастающим 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итогом)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4170F" w:rsidRPr="003838B0" w:rsidTr="00D50695">
        <w:trPr>
          <w:trHeight w:val="276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6. Доля жителей,    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обеспеченных жильем, в том числе подлежащих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переселению </w:t>
            </w:r>
            <w:proofErr w:type="gramStart"/>
            <w:r w:rsidRPr="00C9606E">
              <w:rPr>
                <w:rFonts w:ascii="Times New Roman" w:hAnsi="Times New Roman"/>
                <w:sz w:val="23"/>
                <w:szCs w:val="23"/>
              </w:rPr>
              <w:t>из</w:t>
            </w:r>
            <w:proofErr w:type="gramEnd"/>
          </w:p>
          <w:p w:rsidR="00E4170F" w:rsidRPr="00C9606E" w:rsidRDefault="00E4170F" w:rsidP="00D50695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монастырских памятников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объектов, подлежащих    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9606E">
              <w:rPr>
                <w:rFonts w:ascii="Times New Roman" w:hAnsi="Times New Roman"/>
                <w:sz w:val="23"/>
                <w:szCs w:val="23"/>
              </w:rPr>
              <w:t>музеефикации</w:t>
            </w:r>
            <w:proofErr w:type="spellEnd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 (нарастающим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 xml:space="preserve">итогом)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E417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170F" w:rsidRPr="003838B0" w:rsidTr="00D50695">
        <w:trPr>
          <w:trHeight w:val="276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70F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7. Доля оборудованных мест общего пользования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1D54F7">
              <w:rPr>
                <w:rFonts w:ascii="Times New Roman" w:hAnsi="Times New Roman"/>
                <w:sz w:val="23"/>
                <w:szCs w:val="23"/>
              </w:rPr>
              <w:t xml:space="preserve">(нарастающим итогом)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</w:tr>
      <w:tr w:rsidR="00E4170F" w:rsidRPr="003838B0" w:rsidTr="00D50695">
        <w:trPr>
          <w:trHeight w:val="27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70F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 xml:space="preserve">8. Доля объектов капитального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9606E">
              <w:rPr>
                <w:rFonts w:ascii="Times New Roman" w:hAnsi="Times New Roman"/>
                <w:sz w:val="23"/>
                <w:szCs w:val="23"/>
              </w:rPr>
              <w:t>троительства</w:t>
            </w:r>
            <w:proofErr w:type="gramEnd"/>
            <w:r w:rsidRPr="00C9606E">
              <w:rPr>
                <w:rFonts w:ascii="Times New Roman" w:hAnsi="Times New Roman"/>
                <w:sz w:val="23"/>
                <w:szCs w:val="23"/>
              </w:rPr>
              <w:t xml:space="preserve"> на которые проведена оценка воздействия на объект всемирного наследия ЮНЕСКО от общего числа объектов капитального строительства по муниципальной программе, подлежащих проведению оценки воздействия на объект всемирного наследия ЮНЕСКО </w:t>
            </w:r>
          </w:p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70F" w:rsidRPr="00C9606E" w:rsidRDefault="00E4170F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606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:rsidR="00E4170F" w:rsidRDefault="00E4170F" w:rsidP="00E41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393C" w:rsidRDefault="00E4170F">
      <w:bookmarkStart w:id="0" w:name="_GoBack"/>
      <w:bookmarkEnd w:id="0"/>
    </w:p>
    <w:sectPr w:rsidR="00D3393C" w:rsidSect="003838B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B1A"/>
    <w:multiLevelType w:val="hybridMultilevel"/>
    <w:tmpl w:val="78048D94"/>
    <w:lvl w:ilvl="0" w:tplc="2B060600">
      <w:start w:val="100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F"/>
    <w:rsid w:val="00035E4F"/>
    <w:rsid w:val="00D37547"/>
    <w:rsid w:val="00E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Шамес Евгений Евгеньевич</dc:creator>
  <cp:lastModifiedBy>Шамес Евгений Евгеньевич</cp:lastModifiedBy>
  <cp:revision>1</cp:revision>
  <dcterms:created xsi:type="dcterms:W3CDTF">2015-10-23T12:04:00Z</dcterms:created>
  <dcterms:modified xsi:type="dcterms:W3CDTF">2015-10-23T12:04:00Z</dcterms:modified>
</cp:coreProperties>
</file>